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Strömstad kommunfullmäktige</w:t>
      </w:r>
    </w:p>
    <w:p>
      <w:pPr>
        <w:pStyle w:val="Heading1"/>
      </w:pPr>
      <w:r>
        <w:t xml:space="preserve">Likvärdig skola med extra stöd till utsatta 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Strömstad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Skolverkets statistik visar lägre meritvärden i Strömstads skolor jämfört med riksgenomsnittet. Elever i områden med högre socioekonomisk belastning behöver mer stöd för att nå likvärdighet.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Strömstad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riktade läs- och matteinsatser i årskurs 4–6 från hösten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antalet speciallärare med tre 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 extra budget till skolor med hög andel nyanlända elever.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effekterna av insatserna årligen.</w:t>
      </w:r>
    </w:p>
    <w:p>
      <w:pPr>
        <w:spacing w:before="360"/>
      </w:pPr>
    </w:p>
    <w:p>
      <w:r>
        <w:t xml:space="preserve">Strömstad,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Strömstad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2026-07-14T01:23:35.058Z</dcterms:created>
  <dcterms:modified xsi:type="dcterms:W3CDTF">2026-07-14T01:23:35.058Z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